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3682" w:rsidRDefault="00C83682" w:rsidP="000E1415">
      <w:pPr>
        <w:spacing w:after="0"/>
        <w:rPr>
          <w:b/>
        </w:rPr>
      </w:pPr>
    </w:p>
    <w:p w:rsidR="00C83682" w:rsidRDefault="00C83682" w:rsidP="000E1415">
      <w:pPr>
        <w:spacing w:after="0"/>
        <w:rPr>
          <w:b/>
        </w:rPr>
      </w:pPr>
    </w:p>
    <w:p w:rsidR="00C83682" w:rsidRDefault="00C83682" w:rsidP="000E1415">
      <w:pPr>
        <w:spacing w:after="0"/>
        <w:rPr>
          <w:b/>
        </w:rPr>
      </w:pPr>
    </w:p>
    <w:p w:rsidR="00C83682" w:rsidRDefault="00C83682" w:rsidP="000E1415">
      <w:pPr>
        <w:spacing w:after="0"/>
        <w:rPr>
          <w:b/>
        </w:rPr>
      </w:pPr>
    </w:p>
    <w:p w:rsidR="00C83682" w:rsidRDefault="00C83682" w:rsidP="000E1415">
      <w:pPr>
        <w:spacing w:after="0"/>
        <w:rPr>
          <w:b/>
        </w:rPr>
      </w:pPr>
    </w:p>
    <w:p w:rsidR="00C83682" w:rsidRDefault="00C83682" w:rsidP="000E1415">
      <w:pPr>
        <w:spacing w:after="0"/>
        <w:rPr>
          <w:b/>
        </w:rPr>
      </w:pPr>
    </w:p>
    <w:p w:rsidR="00C83682" w:rsidRPr="00C83682" w:rsidRDefault="00C83682" w:rsidP="000E1415">
      <w:pPr>
        <w:spacing w:after="0"/>
        <w:jc w:val="center"/>
      </w:pPr>
      <w:r w:rsidRPr="00C83682">
        <w:t>Hospice Care</w:t>
      </w:r>
    </w:p>
    <w:p w:rsidR="00C83682" w:rsidRPr="00C83682" w:rsidRDefault="00C83682" w:rsidP="000E1415">
      <w:pPr>
        <w:spacing w:after="0"/>
        <w:jc w:val="center"/>
      </w:pPr>
      <w:r w:rsidRPr="00C83682">
        <w:t>Name of Student</w:t>
      </w:r>
    </w:p>
    <w:p w:rsidR="00C83682" w:rsidRPr="00C83682" w:rsidRDefault="00C83682" w:rsidP="000E1415">
      <w:pPr>
        <w:spacing w:after="0"/>
        <w:jc w:val="center"/>
      </w:pPr>
      <w:r w:rsidRPr="00C83682">
        <w:t>Name of Institution</w:t>
      </w:r>
    </w:p>
    <w:p w:rsidR="00C83682" w:rsidRDefault="00C83682" w:rsidP="000E1415">
      <w:pPr>
        <w:spacing w:after="0"/>
        <w:jc w:val="center"/>
        <w:rPr>
          <w:b/>
        </w:rPr>
      </w:pPr>
      <w:r w:rsidRPr="00C83682">
        <w:t>Date</w:t>
      </w:r>
      <w:r>
        <w:rPr>
          <w:b/>
        </w:rPr>
        <w:br w:type="page"/>
      </w:r>
    </w:p>
    <w:p w:rsidR="009245F0" w:rsidRPr="000F0A20" w:rsidRDefault="000C4901" w:rsidP="000E1415">
      <w:pPr>
        <w:spacing w:after="0"/>
        <w:rPr>
          <w:b/>
        </w:rPr>
      </w:pPr>
      <w:r w:rsidRPr="000F0A20">
        <w:rPr>
          <w:b/>
        </w:rPr>
        <w:lastRenderedPageBreak/>
        <w:t>The hospice movement is uniquely supported by principles that have shaped the American society including self-determinism and individualism. Explain. In your response, discuss the advantages and disadvantages of the hospice system. What effect has absorption of the hospice into the American medical system and health care industry had? As the American medical and pharmaceutical industries pour millions of dollars into medicines that will prolong life, will the roles of hospice be maintained? Why or why not?</w:t>
      </w:r>
    </w:p>
    <w:p w:rsidR="000F0A20" w:rsidRDefault="000C4901" w:rsidP="000E1415">
      <w:pPr>
        <w:spacing w:after="0"/>
        <w:ind w:firstLine="720"/>
      </w:pPr>
      <w:r>
        <w:t xml:space="preserve">Hospice </w:t>
      </w:r>
      <w:r w:rsidR="006622B3">
        <w:t xml:space="preserve">care describes setting or approach towards caring for terminally ill or old patients at the end of life after they have resigned from hoping for a cure. The patients deem that their condition is not responsive to treatment to cure or slow down the process and willingly discontinues the treatment. The care system is designed to the provision of comprehensive comfort care as well as support for the family, with the form of care flexible to a home or institutional setting as per the wishes of the patient. This approach brings together a team of people with special skills, inclusive of doctors, social workers, nurses, trained volunteers, and spiritual advisors who work together with the patient and the family to provide medical, emotional, and spiritual support. A member of the hospice team visits regularly and a dedicated line is provided </w:t>
      </w:r>
      <w:r w:rsidR="004852E2">
        <w:t xml:space="preserve">constantly. </w:t>
      </w:r>
    </w:p>
    <w:p w:rsidR="000C4901" w:rsidRDefault="000F0A20" w:rsidP="000E1415">
      <w:pPr>
        <w:spacing w:after="0"/>
        <w:ind w:firstLine="720"/>
      </w:pPr>
      <w:r>
        <w:t xml:space="preserve">In the article, ‘Individual Rights and the Human Good in Hospice,’ Bruce Jennings describes the three faces of hospices as palliation, autonomy, and healing. </w:t>
      </w:r>
      <w:r w:rsidR="0064198A">
        <w:t>Self-determinism describes a common sense idea whereby a person’s decisions is determined by their motivations and deliberations, character and values, and by feelings and desires. The theory adopted is cri</w:t>
      </w:r>
      <w:r w:rsidR="00D22CD4">
        <w:t xml:space="preserve">tical to evaluating any situation through one’s perception and let that be the sole guide of future actions based on a determined past. Self-determinism is the cornerstone in the U.S. policy, not only on the international front, but an internal national state of foundation </w:t>
      </w:r>
      <w:sdt>
        <w:sdtPr>
          <w:id w:val="1475565709"/>
          <w:citation/>
        </w:sdtPr>
        <w:sdtEndPr/>
        <w:sdtContent>
          <w:r w:rsidR="00D22CD4">
            <w:fldChar w:fldCharType="begin"/>
          </w:r>
          <w:r w:rsidR="00D22CD4">
            <w:instrText xml:space="preserve"> CITATION Sim12 \l 1033 </w:instrText>
          </w:r>
          <w:r w:rsidR="00D22CD4">
            <w:fldChar w:fldCharType="separate"/>
          </w:r>
          <w:r w:rsidR="00D22CD4">
            <w:rPr>
              <w:noProof/>
            </w:rPr>
            <w:t>(Simpson, 2012)</w:t>
          </w:r>
          <w:r w:rsidR="00D22CD4">
            <w:fldChar w:fldCharType="end"/>
          </w:r>
        </w:sdtContent>
      </w:sdt>
      <w:r w:rsidR="00D22CD4">
        <w:t xml:space="preserve">. The nation believes in the value of self and has constantly argued on the judgment through merit not candidate. Individualism, on the other hand, refers to a social theory which favors freedom of action for individuals over collective state of control. The theory places a lot of significance on independence and self-reliance. The American individualistic culture places significance on autonomy, independence, uniqueness, and self-sufficiency </w:t>
      </w:r>
      <w:sdt>
        <w:sdtPr>
          <w:id w:val="1867094252"/>
          <w:citation/>
        </w:sdtPr>
        <w:sdtEndPr/>
        <w:sdtContent>
          <w:r w:rsidR="00D22CD4">
            <w:fldChar w:fldCharType="begin"/>
          </w:r>
          <w:r w:rsidR="00D22CD4">
            <w:instrText xml:space="preserve"> CITATION Spe11 \l 1033 </w:instrText>
          </w:r>
          <w:r w:rsidR="00D22CD4">
            <w:fldChar w:fldCharType="separate"/>
          </w:r>
          <w:r w:rsidR="00D22CD4">
            <w:rPr>
              <w:noProof/>
            </w:rPr>
            <w:t>(Spence , 2011)</w:t>
          </w:r>
          <w:r w:rsidR="00D22CD4">
            <w:fldChar w:fldCharType="end"/>
          </w:r>
        </w:sdtContent>
      </w:sdt>
      <w:r w:rsidR="00D22CD4">
        <w:t>.</w:t>
      </w:r>
    </w:p>
    <w:p w:rsidR="00D22CD4" w:rsidRDefault="00D22CD4" w:rsidP="000E1415">
      <w:pPr>
        <w:spacing w:after="0"/>
        <w:ind w:firstLine="720"/>
      </w:pPr>
      <w:r>
        <w:t>The autonomic aspect of hospice care is heavily reliant on both theories of individualism and self-determinism. Autonomy in hospice care demands the respect for the patients’</w:t>
      </w:r>
      <w:r w:rsidR="000E231C">
        <w:t xml:space="preserve"> wishes, by focusing less on curative means just to respect the rights and purposed freedom of the dying victim </w:t>
      </w:r>
      <w:sdt>
        <w:sdtPr>
          <w:id w:val="1207066926"/>
          <w:citation/>
        </w:sdtPr>
        <w:sdtEndPr/>
        <w:sdtContent>
          <w:r w:rsidR="000E231C">
            <w:fldChar w:fldCharType="begin"/>
          </w:r>
          <w:r w:rsidR="000E231C">
            <w:instrText xml:space="preserve"> CITATION Jen10 \l 1033 </w:instrText>
          </w:r>
          <w:r w:rsidR="000E231C">
            <w:fldChar w:fldCharType="separate"/>
          </w:r>
          <w:r w:rsidR="000E231C">
            <w:rPr>
              <w:noProof/>
            </w:rPr>
            <w:t>(Jennings, 2010)</w:t>
          </w:r>
          <w:r w:rsidR="000E231C">
            <w:fldChar w:fldCharType="end"/>
          </w:r>
        </w:sdtContent>
      </w:sdt>
      <w:r w:rsidR="000E231C">
        <w:t xml:space="preserve">. The autonomic aspect of hospice is viewed as heroic and a haven, in the case of Quinlan and Cruzan, both of whom refused ill-sustaining medical care based purely on their philosophical and ethical standards </w:t>
      </w:r>
      <w:sdt>
        <w:sdtPr>
          <w:id w:val="1545175823"/>
          <w:citation/>
        </w:sdtPr>
        <w:sdtEndPr/>
        <w:sdtContent>
          <w:r w:rsidR="000E231C">
            <w:fldChar w:fldCharType="begin"/>
          </w:r>
          <w:r w:rsidR="000E231C">
            <w:instrText xml:space="preserve"> CITATION Ann05 \l 1033 </w:instrText>
          </w:r>
          <w:r w:rsidR="000E231C">
            <w:fldChar w:fldCharType="separate"/>
          </w:r>
          <w:r w:rsidR="000E231C">
            <w:rPr>
              <w:noProof/>
            </w:rPr>
            <w:t>(Annas, 2005)</w:t>
          </w:r>
          <w:r w:rsidR="000E231C">
            <w:fldChar w:fldCharType="end"/>
          </w:r>
        </w:sdtContent>
      </w:sdt>
      <w:r w:rsidR="000E231C">
        <w:t xml:space="preserve">. </w:t>
      </w:r>
    </w:p>
    <w:p w:rsidR="000E231C" w:rsidRDefault="000E231C" w:rsidP="000E1415">
      <w:pPr>
        <w:spacing w:after="0"/>
        <w:ind w:firstLine="720"/>
      </w:pPr>
      <w:r>
        <w:t>Though the hospice care is directed at provision of holistic comfort and dignity in the face of death, the matter requires consideration. Hospice care is fairly attractive since it includes a comprehensive form of care inclusive of professionals from a myriad of disciplines and volunteers</w:t>
      </w:r>
      <w:r w:rsidR="003110E1">
        <w:t xml:space="preserve"> to meet the needs of the patient. Another critical merit of this form of care is the provision of it on a continuous constant basis for 24 hours each and every day inclusive of weekends and holidays. The option of this form of care reduces expenses that concern medical expenses in equipment, medications and supplies since the insurance most of the costs. </w:t>
      </w:r>
      <w:r w:rsidR="00D35EB3">
        <w:t xml:space="preserve">The care given to the patient is reliant on his preferred choice of location and indulges him in his preferences. </w:t>
      </w:r>
    </w:p>
    <w:p w:rsidR="003110E1" w:rsidRDefault="003110E1" w:rsidP="000E1415">
      <w:pPr>
        <w:spacing w:after="0"/>
        <w:ind w:firstLine="720"/>
      </w:pPr>
      <w:r>
        <w:t xml:space="preserve">On the other hand, the resigned nature of the patient to die restricts access to diagnostic tests. The tests are under the cover of the hospice care agreement, and since they are expensive and may not prove beneficial, hospice agencies often disapprove of them. The care terms and agreements conditions allow for short-term medical stays but only for symptoms managements. The terms also loosely define the standards and criteria for admission and coverage of specific treatments for each situation. Any life prolonging treatment or experiments is not allowed. Since the nature of care given is for patients resigned to succumb to their illnesses, the hospice agreement restricts and does not cover the patients from any treatments and procedures deemed life prolonging </w:t>
      </w:r>
      <w:sdt>
        <w:sdtPr>
          <w:id w:val="-1786417664"/>
          <w:citation/>
        </w:sdtPr>
        <w:sdtEndPr/>
        <w:sdtContent>
          <w:r>
            <w:fldChar w:fldCharType="begin"/>
          </w:r>
          <w:r>
            <w:instrText xml:space="preserve"> CITATION Mor18 \l 1033 </w:instrText>
          </w:r>
          <w:r>
            <w:fldChar w:fldCharType="separate"/>
          </w:r>
          <w:r>
            <w:rPr>
              <w:noProof/>
            </w:rPr>
            <w:t>(Morrow, 2018)</w:t>
          </w:r>
          <w:r>
            <w:fldChar w:fldCharType="end"/>
          </w:r>
        </w:sdtContent>
      </w:sdt>
      <w:r>
        <w:t xml:space="preserve">. </w:t>
      </w:r>
      <w:r w:rsidR="00D35EB3">
        <w:t>Another disadvantage of hospice care is that it is demoralizing to the family members of the patient. Opting for the form of care highlights the fact that the patient is near death which culminates as a form of helplessness for the family members which is emotionally exhaustive and draining. The family also has to relinquish some responsibilities to align their routines with caring for the patient.</w:t>
      </w:r>
    </w:p>
    <w:p w:rsidR="00D35EB3" w:rsidRDefault="004D1173" w:rsidP="000E1415">
      <w:pPr>
        <w:spacing w:after="0"/>
        <w:ind w:firstLine="720"/>
      </w:pPr>
      <w:r>
        <w:t xml:space="preserve">The hospice form of care has significantly reduced the rate of hospital admission, intensive care units admissions, and invasive procedures at the end of life for patients. This arises from the fact that patients now are given an option on their preferred means on how to die. The health care industry has also experienced a lower health care expenditure. The medical industry has opted for initiatives an policies that are determined by the quality of care, responsivity to change, easy to understand for the patients, and actionable. This directive has influenced both the American medical system and the health care industry to be open to the patients concerning diagnosis, treatment, and preventive measures. The general patient population is also allowed to assess care on their choice and thus has reduced significantly the number of patients who opt for life support. Hospice care has also improved private insurance coverage measures for the same on a varied scale. </w:t>
      </w:r>
      <w:r w:rsidR="00500AA2">
        <w:t xml:space="preserve">Hospice acre has also influenced policies determined by the type of care adopted by the patient; hospitalized or at home, to effectively limit eligibility for Medicare reimbursement </w:t>
      </w:r>
      <w:sdt>
        <w:sdtPr>
          <w:id w:val="-535506499"/>
          <w:citation/>
        </w:sdtPr>
        <w:sdtEndPr/>
        <w:sdtContent>
          <w:r w:rsidR="00500AA2">
            <w:fldChar w:fldCharType="begin"/>
          </w:r>
          <w:r w:rsidR="00500AA2">
            <w:instrText xml:space="preserve"> CITATION Mor131 \l 1033 </w:instrText>
          </w:r>
          <w:r w:rsidR="00500AA2">
            <w:fldChar w:fldCharType="separate"/>
          </w:r>
          <w:r w:rsidR="00500AA2">
            <w:rPr>
              <w:noProof/>
            </w:rPr>
            <w:t>(Mor &amp; Birnbaum, 2013)</w:t>
          </w:r>
          <w:r w:rsidR="00500AA2">
            <w:fldChar w:fldCharType="end"/>
          </w:r>
        </w:sdtContent>
      </w:sdt>
      <w:r w:rsidR="00500AA2">
        <w:t xml:space="preserve">. </w:t>
      </w:r>
    </w:p>
    <w:p w:rsidR="0027088F" w:rsidRPr="00DB51D4" w:rsidRDefault="007673BE" w:rsidP="000E1415">
      <w:pPr>
        <w:spacing w:after="0"/>
        <w:ind w:firstLine="720"/>
        <w:rPr>
          <w:szCs w:val="24"/>
        </w:rPr>
      </w:pPr>
      <w:r w:rsidRPr="007673BE">
        <w:rPr>
          <w:szCs w:val="24"/>
          <w:shd w:val="clear" w:color="auto" w:fill="FFFFFF"/>
        </w:rPr>
        <w:t xml:space="preserve">With a growing population of the elderly and with their dominance in population statistics more than any other time in history, the culture of dying is changing. </w:t>
      </w:r>
      <w:r w:rsidR="00DB51D4">
        <w:rPr>
          <w:szCs w:val="24"/>
        </w:rPr>
        <w:t xml:space="preserve">The medical technology has seen significant improvement promoted by advancements in medical approaches, which in turn promotes people’s ignorance about the limitations of medical interventions and has eludes the stress brought about by the proposed limits. People are more hopeful, despite the statistics and analysis of doctors </w:t>
      </w:r>
      <w:sdt>
        <w:sdtPr>
          <w:rPr>
            <w:szCs w:val="24"/>
          </w:rPr>
          <w:id w:val="2101680851"/>
          <w:citation/>
        </w:sdtPr>
        <w:sdtEndPr/>
        <w:sdtContent>
          <w:r w:rsidR="0059798D" w:rsidRPr="007673BE">
            <w:rPr>
              <w:szCs w:val="24"/>
            </w:rPr>
            <w:fldChar w:fldCharType="begin"/>
          </w:r>
          <w:r w:rsidR="0059798D" w:rsidRPr="007673BE">
            <w:rPr>
              <w:szCs w:val="24"/>
            </w:rPr>
            <w:instrText xml:space="preserve"> CITATION Wal11 \l 1033 </w:instrText>
          </w:r>
          <w:r w:rsidR="0059798D" w:rsidRPr="007673BE">
            <w:rPr>
              <w:szCs w:val="24"/>
            </w:rPr>
            <w:fldChar w:fldCharType="separate"/>
          </w:r>
          <w:r w:rsidR="0059798D" w:rsidRPr="007673BE">
            <w:rPr>
              <w:noProof/>
              <w:szCs w:val="24"/>
            </w:rPr>
            <w:t>(Waldrop, 2011)</w:t>
          </w:r>
          <w:r w:rsidR="0059798D" w:rsidRPr="007673BE">
            <w:rPr>
              <w:szCs w:val="24"/>
            </w:rPr>
            <w:fldChar w:fldCharType="end"/>
          </w:r>
        </w:sdtContent>
      </w:sdt>
      <w:r w:rsidRPr="007673BE">
        <w:rPr>
          <w:szCs w:val="24"/>
        </w:rPr>
        <w:t xml:space="preserve">. </w:t>
      </w:r>
      <w:r w:rsidR="00DB51D4">
        <w:rPr>
          <w:szCs w:val="24"/>
        </w:rPr>
        <w:t xml:space="preserve">Technology is providing an escape from the finality of death and therefore, </w:t>
      </w:r>
      <w:r w:rsidR="00DB51D4">
        <w:rPr>
          <w:szCs w:val="24"/>
          <w:shd w:val="clear" w:color="auto" w:fill="FFFFFF"/>
        </w:rPr>
        <w:t>has resulted in the development of a defiant attitude in patients concerning death and dying. Though concerns are present about life prolonging treatments and doubts as to how they will effectively meet the need for the patients, human compassion for the dying and those who love obscures the capability of m</w:t>
      </w:r>
      <w:r w:rsidRPr="007673BE">
        <w:rPr>
          <w:szCs w:val="24"/>
          <w:shd w:val="clear" w:color="auto" w:fill="FFFFFF"/>
        </w:rPr>
        <w:t>edical technology</w:t>
      </w:r>
      <w:r w:rsidR="00DB51D4">
        <w:rPr>
          <w:szCs w:val="24"/>
          <w:shd w:val="clear" w:color="auto" w:fill="FFFFFF"/>
        </w:rPr>
        <w:t>.</w:t>
      </w:r>
      <w:r w:rsidRPr="007673BE">
        <w:rPr>
          <w:szCs w:val="24"/>
          <w:shd w:val="clear" w:color="auto" w:fill="FFFFFF"/>
        </w:rPr>
        <w:t xml:space="preserve"> </w:t>
      </w:r>
      <w:r>
        <w:rPr>
          <w:szCs w:val="24"/>
          <w:shd w:val="clear" w:color="auto" w:fill="FFFFFF"/>
        </w:rPr>
        <w:t xml:space="preserve">Continued improvements are projected to see a reduction in the statistics of patients opting for hospice care. The reason for this impact is the fact that people want to live longer, and in better situations, people and patients will opt for prolonged life. </w:t>
      </w:r>
    </w:p>
    <w:p w:rsidR="0027088F" w:rsidRDefault="0027088F" w:rsidP="000E1415">
      <w:pPr>
        <w:spacing w:after="0"/>
        <w:rPr>
          <w:szCs w:val="24"/>
          <w:shd w:val="clear" w:color="auto" w:fill="FFFFFF"/>
        </w:rPr>
      </w:pPr>
      <w:r>
        <w:rPr>
          <w:szCs w:val="24"/>
          <w:shd w:val="clear" w:color="auto" w:fill="FFFFFF"/>
        </w:rPr>
        <w:br w:type="page"/>
      </w:r>
    </w:p>
    <w:sdt>
      <w:sdtPr>
        <w:rPr>
          <w:rFonts w:ascii="Times New Roman" w:eastAsiaTheme="minorHAnsi" w:hAnsi="Times New Roman" w:cstheme="minorBidi"/>
          <w:b w:val="0"/>
          <w:bCs w:val="0"/>
          <w:color w:val="auto"/>
          <w:sz w:val="24"/>
          <w:szCs w:val="22"/>
          <w:lang w:eastAsia="en-US"/>
        </w:rPr>
        <w:id w:val="-598953319"/>
        <w:docPartObj>
          <w:docPartGallery w:val="Bibliographies"/>
          <w:docPartUnique/>
        </w:docPartObj>
      </w:sdtPr>
      <w:sdtEndPr/>
      <w:sdtContent>
        <w:p w:rsidR="0027088F" w:rsidRPr="000E1415" w:rsidRDefault="0027088F" w:rsidP="000E1415">
          <w:pPr>
            <w:pStyle w:val="Heading1"/>
            <w:jc w:val="center"/>
            <w:rPr>
              <w:rFonts w:ascii="Times New Roman" w:hAnsi="Times New Roman" w:cs="Times New Roman"/>
              <w:b w:val="0"/>
              <w:color w:val="auto"/>
              <w:sz w:val="24"/>
            </w:rPr>
          </w:pPr>
          <w:r w:rsidRPr="000E1415">
            <w:rPr>
              <w:rFonts w:ascii="Times New Roman" w:hAnsi="Times New Roman" w:cs="Times New Roman"/>
              <w:b w:val="0"/>
              <w:color w:val="auto"/>
              <w:sz w:val="24"/>
            </w:rPr>
            <w:t>References</w:t>
          </w:r>
        </w:p>
        <w:sdt>
          <w:sdtPr>
            <w:id w:val="111145805"/>
            <w:bibliography/>
          </w:sdtPr>
          <w:sdtEndPr/>
          <w:sdtContent>
            <w:p w:rsidR="0027088F" w:rsidRDefault="0027088F" w:rsidP="000E1415">
              <w:pPr>
                <w:pStyle w:val="Bibliography"/>
                <w:spacing w:after="0"/>
                <w:ind w:left="720" w:hanging="720"/>
                <w:rPr>
                  <w:noProof/>
                </w:rPr>
              </w:pPr>
              <w:r>
                <w:fldChar w:fldCharType="begin"/>
              </w:r>
              <w:r>
                <w:instrText xml:space="preserve"> BIBLIOGRAPHY </w:instrText>
              </w:r>
              <w:r>
                <w:fldChar w:fldCharType="separate"/>
              </w:r>
              <w:r>
                <w:rPr>
                  <w:noProof/>
                </w:rPr>
                <w:t xml:space="preserve">Annas, G. J. (2005). The right to die in America: sloganeering from Quinlan and Cruzan to Quill and Kevorkian. </w:t>
              </w:r>
              <w:r>
                <w:rPr>
                  <w:i/>
                  <w:iCs/>
                  <w:noProof/>
                </w:rPr>
                <w:t>Duquesne Law Review, 34</w:t>
              </w:r>
              <w:r>
                <w:rPr>
                  <w:noProof/>
                </w:rPr>
                <w:t>, 875.</w:t>
              </w:r>
            </w:p>
            <w:p w:rsidR="0027088F" w:rsidRDefault="0027088F" w:rsidP="000E1415">
              <w:pPr>
                <w:pStyle w:val="Bibliography"/>
                <w:spacing w:after="0"/>
                <w:ind w:left="720" w:hanging="720"/>
                <w:rPr>
                  <w:noProof/>
                </w:rPr>
              </w:pPr>
              <w:r>
                <w:rPr>
                  <w:noProof/>
                </w:rPr>
                <w:t xml:space="preserve">Jennings, B. (2010). Individual rights and the human good in hospice. </w:t>
              </w:r>
              <w:r>
                <w:rPr>
                  <w:i/>
                  <w:iCs/>
                  <w:noProof/>
                </w:rPr>
                <w:t>The Hospice Journal, 12</w:t>
              </w:r>
              <w:r>
                <w:rPr>
                  <w:noProof/>
                </w:rPr>
                <w:t>(2), 1-7.</w:t>
              </w:r>
            </w:p>
            <w:p w:rsidR="0027088F" w:rsidRDefault="0027088F" w:rsidP="000E1415">
              <w:pPr>
                <w:pStyle w:val="Bibliography"/>
                <w:spacing w:after="0"/>
                <w:ind w:left="720" w:hanging="720"/>
                <w:rPr>
                  <w:noProof/>
                </w:rPr>
              </w:pPr>
              <w:r>
                <w:rPr>
                  <w:noProof/>
                </w:rPr>
                <w:t xml:space="preserve">Mor, V., &amp; Birnbaum, H. (2013). Medicare Legislation for Hospice Care: Implications of National Hospice Study Data. </w:t>
              </w:r>
              <w:r>
                <w:rPr>
                  <w:i/>
                  <w:iCs/>
                  <w:noProof/>
                </w:rPr>
                <w:t>Health Affairs, 2</w:t>
              </w:r>
              <w:r>
                <w:rPr>
                  <w:noProof/>
                </w:rPr>
                <w:t>(2). doi:https://doi.org/10.1377/hlthaff.2.2.80</w:t>
              </w:r>
            </w:p>
            <w:p w:rsidR="0027088F" w:rsidRDefault="0027088F" w:rsidP="000E1415">
              <w:pPr>
                <w:pStyle w:val="Bibliography"/>
                <w:spacing w:after="0"/>
                <w:ind w:left="720" w:hanging="720"/>
                <w:rPr>
                  <w:noProof/>
                </w:rPr>
              </w:pPr>
              <w:r>
                <w:rPr>
                  <w:noProof/>
                </w:rPr>
                <w:t xml:space="preserve">Morrow, A. R. (2018, December 30). </w:t>
              </w:r>
              <w:r>
                <w:rPr>
                  <w:i/>
                  <w:iCs/>
                  <w:noProof/>
                </w:rPr>
                <w:t>Advantages and Disadvantages of Hospice Care</w:t>
              </w:r>
              <w:r>
                <w:rPr>
                  <w:noProof/>
                </w:rPr>
                <w:t>. Retrieved from verywellhealth: https://www.verywellhealth.com/pros-and-cons-of-hospice-care-1132299</w:t>
              </w:r>
            </w:p>
            <w:p w:rsidR="0027088F" w:rsidRDefault="0027088F" w:rsidP="000E1415">
              <w:pPr>
                <w:pStyle w:val="Bibliography"/>
                <w:spacing w:after="0"/>
                <w:ind w:left="720" w:hanging="720"/>
                <w:rPr>
                  <w:noProof/>
                </w:rPr>
              </w:pPr>
              <w:r>
                <w:rPr>
                  <w:noProof/>
                </w:rPr>
                <w:t xml:space="preserve">Simpson, B. (2012). "The United States and the curious history of self-determination.". </w:t>
              </w:r>
              <w:r>
                <w:rPr>
                  <w:i/>
                  <w:iCs/>
                  <w:noProof/>
                </w:rPr>
                <w:t>Diplomatic History, 36</w:t>
              </w:r>
              <w:r>
                <w:rPr>
                  <w:noProof/>
                </w:rPr>
                <w:t>(4), 675-694.</w:t>
              </w:r>
            </w:p>
            <w:p w:rsidR="0027088F" w:rsidRDefault="0027088F" w:rsidP="000E1415">
              <w:pPr>
                <w:pStyle w:val="Bibliography"/>
                <w:spacing w:after="0"/>
                <w:ind w:left="720" w:hanging="720"/>
                <w:rPr>
                  <w:noProof/>
                </w:rPr>
              </w:pPr>
              <w:r>
                <w:rPr>
                  <w:noProof/>
                </w:rPr>
                <w:t xml:space="preserve">Spence , J. T. (2011). "Achievement American style: The rewards and costs of individualism." . </w:t>
              </w:r>
              <w:r>
                <w:rPr>
                  <w:i/>
                  <w:iCs/>
                  <w:noProof/>
                </w:rPr>
                <w:t xml:space="preserve">American Psychologist </w:t>
              </w:r>
              <w:r>
                <w:rPr>
                  <w:noProof/>
                </w:rPr>
                <w:t>, 1285.</w:t>
              </w:r>
            </w:p>
            <w:p w:rsidR="0027088F" w:rsidRDefault="0027088F" w:rsidP="000E1415">
              <w:pPr>
                <w:pStyle w:val="Bibliography"/>
                <w:spacing w:after="0"/>
                <w:ind w:left="720" w:hanging="720"/>
                <w:rPr>
                  <w:noProof/>
                </w:rPr>
              </w:pPr>
              <w:r>
                <w:rPr>
                  <w:noProof/>
                </w:rPr>
                <w:t xml:space="preserve">Waldrop, D. P. (2011, August). Denying and Defying Death: The Culture of Dying in 21st Century America,. </w:t>
              </w:r>
              <w:r>
                <w:rPr>
                  <w:i/>
                  <w:iCs/>
                  <w:noProof/>
                </w:rPr>
                <w:t>The Gerontologist, 51</w:t>
              </w:r>
              <w:r>
                <w:rPr>
                  <w:noProof/>
                </w:rPr>
                <w:t>(4), 571-576. doi: https://doi.org/10.1093/geront/gnr076</w:t>
              </w:r>
            </w:p>
            <w:p w:rsidR="0027088F" w:rsidRDefault="0027088F" w:rsidP="000E1415">
              <w:pPr>
                <w:spacing w:after="0"/>
              </w:pPr>
              <w:r>
                <w:rPr>
                  <w:b/>
                  <w:bCs/>
                  <w:noProof/>
                </w:rPr>
                <w:fldChar w:fldCharType="end"/>
              </w:r>
            </w:p>
          </w:sdtContent>
        </w:sdt>
      </w:sdtContent>
    </w:sdt>
    <w:p w:rsidR="0059798D" w:rsidRPr="007673BE" w:rsidRDefault="0059798D" w:rsidP="000E1415">
      <w:pPr>
        <w:spacing w:after="0"/>
        <w:ind w:firstLine="720"/>
        <w:rPr>
          <w:szCs w:val="24"/>
        </w:rPr>
      </w:pPr>
      <w:bookmarkStart w:id="0" w:name="_GoBack"/>
      <w:bookmarkEnd w:id="0"/>
    </w:p>
    <w:sectPr w:rsidR="0059798D" w:rsidRPr="007673BE" w:rsidSect="0027088F">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03BF" w:rsidRDefault="00C803BF" w:rsidP="0027088F">
      <w:pPr>
        <w:spacing w:after="0" w:line="240" w:lineRule="auto"/>
      </w:pPr>
      <w:r>
        <w:separator/>
      </w:r>
    </w:p>
  </w:endnote>
  <w:endnote w:type="continuationSeparator" w:id="0">
    <w:p w:rsidR="00C803BF" w:rsidRDefault="00C803BF" w:rsidP="002708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03BF" w:rsidRDefault="00C803BF" w:rsidP="0027088F">
      <w:pPr>
        <w:spacing w:after="0" w:line="240" w:lineRule="auto"/>
      </w:pPr>
      <w:r>
        <w:separator/>
      </w:r>
    </w:p>
  </w:footnote>
  <w:footnote w:type="continuationSeparator" w:id="0">
    <w:p w:rsidR="00C803BF" w:rsidRDefault="00C803BF" w:rsidP="002708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088F" w:rsidRDefault="0027088F">
    <w:pPr>
      <w:pStyle w:val="Header"/>
      <w:jc w:val="right"/>
    </w:pPr>
    <w:r>
      <w:t>HOSPICE CARE</w:t>
    </w:r>
    <w:r>
      <w:tab/>
    </w:r>
    <w:r>
      <w:tab/>
    </w:r>
    <w:sdt>
      <w:sdtPr>
        <w:id w:val="-66354343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95AD3">
          <w:rPr>
            <w:noProof/>
          </w:rPr>
          <w:t>2</w:t>
        </w:r>
        <w:r>
          <w:rPr>
            <w:noProof/>
          </w:rPr>
          <w:fldChar w:fldCharType="end"/>
        </w:r>
      </w:sdtContent>
    </w:sdt>
  </w:p>
  <w:p w:rsidR="0027088F" w:rsidRDefault="0027088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088F" w:rsidRDefault="0027088F">
    <w:pPr>
      <w:pStyle w:val="Header"/>
      <w:jc w:val="right"/>
    </w:pPr>
    <w:r>
      <w:t xml:space="preserve">Running Head: HOSPICE CARE </w:t>
    </w:r>
    <w:r>
      <w:tab/>
    </w:r>
    <w:r>
      <w:tab/>
    </w:r>
    <w:sdt>
      <w:sdtPr>
        <w:id w:val="213166450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803BF">
          <w:rPr>
            <w:noProof/>
          </w:rPr>
          <w:t>1</w:t>
        </w:r>
        <w:r>
          <w:rPr>
            <w:noProof/>
          </w:rPr>
          <w:fldChar w:fldCharType="end"/>
        </w:r>
      </w:sdtContent>
    </w:sdt>
  </w:p>
  <w:p w:rsidR="0027088F" w:rsidRDefault="0027088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1106"/>
    <w:rsid w:val="000C4901"/>
    <w:rsid w:val="000E1415"/>
    <w:rsid w:val="000E231C"/>
    <w:rsid w:val="000F0A20"/>
    <w:rsid w:val="0027088F"/>
    <w:rsid w:val="003110E1"/>
    <w:rsid w:val="004852E2"/>
    <w:rsid w:val="004D1173"/>
    <w:rsid w:val="00500AA2"/>
    <w:rsid w:val="00513C96"/>
    <w:rsid w:val="0059798D"/>
    <w:rsid w:val="0064198A"/>
    <w:rsid w:val="006622B3"/>
    <w:rsid w:val="006E6236"/>
    <w:rsid w:val="006E6D27"/>
    <w:rsid w:val="007673BE"/>
    <w:rsid w:val="00895AD3"/>
    <w:rsid w:val="009245F0"/>
    <w:rsid w:val="00C803BF"/>
    <w:rsid w:val="00C83682"/>
    <w:rsid w:val="00D22CD4"/>
    <w:rsid w:val="00D35EB3"/>
    <w:rsid w:val="00DB1106"/>
    <w:rsid w:val="00DB51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75A996E-C10A-4410-8E6D-4DAB15280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7088F"/>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22C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2CD4"/>
    <w:rPr>
      <w:rFonts w:ascii="Tahoma" w:hAnsi="Tahoma" w:cs="Tahoma"/>
      <w:sz w:val="16"/>
      <w:szCs w:val="16"/>
    </w:rPr>
  </w:style>
  <w:style w:type="character" w:customStyle="1" w:styleId="Heading1Char">
    <w:name w:val="Heading 1 Char"/>
    <w:basedOn w:val="DefaultParagraphFont"/>
    <w:link w:val="Heading1"/>
    <w:uiPriority w:val="9"/>
    <w:rsid w:val="0027088F"/>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27088F"/>
  </w:style>
  <w:style w:type="paragraph" w:styleId="Header">
    <w:name w:val="header"/>
    <w:basedOn w:val="Normal"/>
    <w:link w:val="HeaderChar"/>
    <w:uiPriority w:val="99"/>
    <w:unhideWhenUsed/>
    <w:rsid w:val="002708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088F"/>
  </w:style>
  <w:style w:type="paragraph" w:styleId="Footer">
    <w:name w:val="footer"/>
    <w:basedOn w:val="Normal"/>
    <w:link w:val="FooterChar"/>
    <w:uiPriority w:val="99"/>
    <w:unhideWhenUsed/>
    <w:rsid w:val="002708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08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Sim12</b:Tag>
    <b:SourceType>JournalArticle</b:SourceType>
    <b:Guid>{FAD29762-267A-41A8-BF03-00D181B03627}</b:Guid>
    <b:Title>"The United States and the curious history of self-determination."</b:Title>
    <b:JournalName>Diplomatic History</b:JournalName>
    <b:Year>2012</b:Year>
    <b:Pages>675-694</b:Pages>
    <b:Author>
      <b:Author>
        <b:NameList>
          <b:Person>
            <b:Last>Simpson</b:Last>
            <b:First>Brad</b:First>
          </b:Person>
        </b:NameList>
      </b:Author>
    </b:Author>
    <b:Volume>36</b:Volume>
    <b:Issue>4</b:Issue>
    <b:RefOrder>1</b:RefOrder>
  </b:Source>
  <b:Source>
    <b:Tag>Spe11</b:Tag>
    <b:SourceType>JournalArticle</b:SourceType>
    <b:Guid>{49F56A7D-B072-46DF-A3EA-B3EA5A6F92BF}</b:Guid>
    <b:Title>"Achievement American style: The rewards and costs of individualism." </b:Title>
    <b:JournalName>American Psychologist </b:JournalName>
    <b:Year>2011</b:Year>
    <b:Pages>1285</b:Pages>
    <b:Author>
      <b:Author>
        <b:NameList>
          <b:Person>
            <b:Last>Spence </b:Last>
            <b:Middle>T.</b:Middle>
            <b:First>Janet</b:First>
          </b:Person>
        </b:NameList>
      </b:Author>
    </b:Author>
    <b:RefOrder>2</b:RefOrder>
  </b:Source>
  <b:Source>
    <b:Tag>Ann05</b:Tag>
    <b:SourceType>JournalArticle</b:SourceType>
    <b:Guid>{E30D2765-C098-46DA-AD1F-2422859CB8F8}</b:Guid>
    <b:Title>The right to die in America: sloganeering from Quinlan and Cruzan to Quill and Kevorkian.</b:Title>
    <b:JournalName>Duquesne Law Review</b:JournalName>
    <b:Year>2005</b:Year>
    <b:Pages>875</b:Pages>
    <b:Author>
      <b:Author>
        <b:NameList>
          <b:Person>
            <b:Last>Annas</b:Last>
            <b:Middle>J.</b:Middle>
            <b:First>George</b:First>
          </b:Person>
        </b:NameList>
      </b:Author>
    </b:Author>
    <b:Volume>34</b:Volume>
    <b:RefOrder>4</b:RefOrder>
  </b:Source>
  <b:Source>
    <b:Tag>Jen10</b:Tag>
    <b:SourceType>JournalArticle</b:SourceType>
    <b:Guid>{E21C7DEF-06A2-4F4A-A5A4-9BB67987B87C}</b:Guid>
    <b:Title>Individual rights and the human good in hospice.</b:Title>
    <b:JournalName>The Hospice Journal</b:JournalName>
    <b:Year>2010</b:Year>
    <b:Pages>1-7</b:Pages>
    <b:Author>
      <b:Author>
        <b:NameList>
          <b:Person>
            <b:Last>Jennings</b:Last>
            <b:First>Bruce</b:First>
          </b:Person>
        </b:NameList>
      </b:Author>
    </b:Author>
    <b:Volume>12</b:Volume>
    <b:Issue>2</b:Issue>
    <b:RefOrder>3</b:RefOrder>
  </b:Source>
  <b:Source>
    <b:Tag>Mor18</b:Tag>
    <b:SourceType>InternetSite</b:SourceType>
    <b:Guid>{6CB6405F-2FAF-4D16-9A7C-FFF58CBF4807}</b:Guid>
    <b:Title>Advantages and Disadvantages of Hospice Care</b:Title>
    <b:Year>2018</b:Year>
    <b:InternetSiteTitle>verywellhealth</b:InternetSiteTitle>
    <b:Month>December</b:Month>
    <b:Day>30</b:Day>
    <b:URL>https://www.verywellhealth.com/pros-and-cons-of-hospice-care-1132299</b:URL>
    <b:Author>
      <b:Author>
        <b:NameList>
          <b:Person>
            <b:Last>Morrow</b:Last>
            <b:Middle>RN</b:Middle>
            <b:First>Angela</b:First>
          </b:Person>
        </b:NameList>
      </b:Author>
    </b:Author>
    <b:RefOrder>5</b:RefOrder>
  </b:Source>
  <b:Source>
    <b:Tag>Mor131</b:Tag>
    <b:SourceType>JournalArticle</b:SourceType>
    <b:Guid>{CD83578B-6FCD-4D70-83F1-83C40EB743D1}</b:Guid>
    <b:Title>Medicare Legislation for Hospice Care: Implications of National Hospice Study Data</b:Title>
    <b:Year>2013</b:Year>
    <b:JournalName>Health Affairs</b:JournalName>
    <b:Author>
      <b:Author>
        <b:NameList>
          <b:Person>
            <b:Last>Mor</b:Last>
            <b:First>Vincent</b:First>
          </b:Person>
          <b:Person>
            <b:Last>Birnbaum</b:Last>
            <b:First>Howard</b:First>
          </b:Person>
        </b:NameList>
      </b:Author>
    </b:Author>
    <b:Volume>2</b:Volume>
    <b:Issue>2</b:Issue>
    <b:DOI>https://doi.org/10.1377/hlthaff.2.2.80</b:DOI>
    <b:RefOrder>6</b:RefOrder>
  </b:Source>
  <b:Source>
    <b:Tag>Wal11</b:Tag>
    <b:SourceType>JournalArticle</b:SourceType>
    <b:Guid>{052F512A-341A-4E88-8CAD-3B12A2A0664F}</b:Guid>
    <b:Title>Denying and Defying Death: The Culture of Dying in 21st Century America,</b:Title>
    <b:JournalName>The Gerontologist</b:JournalName>
    <b:Year>2011</b:Year>
    <b:Pages>571-576</b:Pages>
    <b:Author>
      <b:Author>
        <b:NameList>
          <b:Person>
            <b:Last>Waldrop</b:Last>
            <b:Middle>P.</b:Middle>
            <b:First>Deborah</b:First>
          </b:Person>
        </b:NameList>
      </b:Author>
    </b:Author>
    <b:Month>August</b:Month>
    <b:Volume>51</b:Volume>
    <b:Issue>4</b:Issue>
    <b:DOI> https://doi.org/10.1093/geront/gnr076</b:DOI>
    <b:RefOrder>7</b:RefOrder>
  </b:Source>
</b:Sources>
</file>

<file path=customXml/itemProps1.xml><?xml version="1.0" encoding="utf-8"?>
<ds:datastoreItem xmlns:ds="http://schemas.openxmlformats.org/officeDocument/2006/customXml" ds:itemID="{06E6F71F-C7B3-45EA-A5E8-BCD942204F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1293</Words>
  <Characters>7372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hp15</cp:lastModifiedBy>
  <cp:revision>2</cp:revision>
  <dcterms:created xsi:type="dcterms:W3CDTF">2019-04-24T19:24:00Z</dcterms:created>
  <dcterms:modified xsi:type="dcterms:W3CDTF">2019-04-24T19:24:00Z</dcterms:modified>
</cp:coreProperties>
</file>